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16" w:rsidRPr="00BB6016" w:rsidRDefault="00BB6016" w:rsidP="00BB6016">
      <w:pPr>
        <w:spacing w:after="240" w:line="420" w:lineRule="atLeast"/>
        <w:textAlignment w:val="baseline"/>
        <w:outlineLvl w:val="0"/>
        <w:rPr>
          <w:rFonts w:ascii="inherit" w:eastAsia="Times New Roman" w:hAnsi="inherit" w:cs="Arial"/>
          <w:b/>
          <w:bCs/>
          <w:color w:val="3B4256"/>
          <w:spacing w:val="-4"/>
          <w:kern w:val="36"/>
          <w:sz w:val="33"/>
          <w:szCs w:val="33"/>
          <w:lang w:eastAsia="ru-RU"/>
        </w:rPr>
      </w:pPr>
      <w:bookmarkStart w:id="0" w:name="_GoBack"/>
      <w:r w:rsidRPr="00BB6016">
        <w:rPr>
          <w:rFonts w:ascii="inherit" w:eastAsia="Times New Roman" w:hAnsi="inherit" w:cs="Arial"/>
          <w:b/>
          <w:bCs/>
          <w:color w:val="3B4256"/>
          <w:spacing w:val="-4"/>
          <w:kern w:val="36"/>
          <w:sz w:val="33"/>
          <w:szCs w:val="33"/>
          <w:lang w:eastAsia="ru-RU"/>
        </w:rPr>
        <w:t>Правила противопожарного режима в Российской Федерации</w:t>
      </w:r>
      <w:bookmarkEnd w:id="0"/>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t>(</w:t>
      </w:r>
      <w:proofErr w:type="gramStart"/>
      <w:r w:rsidRPr="00BB6016">
        <w:rPr>
          <w:rFonts w:ascii="inherit" w:eastAsia="Times New Roman" w:hAnsi="inherit" w:cs="Arial"/>
          <w:color w:val="3B4256"/>
          <w:sz w:val="26"/>
          <w:szCs w:val="26"/>
          <w:lang w:eastAsia="ru-RU"/>
        </w:rPr>
        <w:t>утверждены</w:t>
      </w:r>
      <w:proofErr w:type="gramEnd"/>
      <w:r w:rsidRPr="00BB6016">
        <w:rPr>
          <w:rFonts w:ascii="inherit" w:eastAsia="Times New Roman" w:hAnsi="inherit" w:cs="Arial"/>
          <w:color w:val="3B4256"/>
          <w:sz w:val="26"/>
          <w:szCs w:val="26"/>
          <w:lang w:eastAsia="ru-RU"/>
        </w:rPr>
        <w:t xml:space="preserve"> постановлением Правительства РФ от 25.04.2012 г. N 390,</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proofErr w:type="gramStart"/>
      <w:r w:rsidRPr="00BB6016">
        <w:rPr>
          <w:rFonts w:ascii="inherit" w:eastAsia="Times New Roman" w:hAnsi="inherit" w:cs="Arial"/>
          <w:color w:val="3B4256"/>
          <w:sz w:val="26"/>
          <w:szCs w:val="26"/>
          <w:lang w:eastAsia="ru-RU"/>
        </w:rPr>
        <w:t>в</w:t>
      </w:r>
      <w:proofErr w:type="gramEnd"/>
      <w:r w:rsidRPr="00BB6016">
        <w:rPr>
          <w:rFonts w:ascii="inherit" w:eastAsia="Times New Roman" w:hAnsi="inherit" w:cs="Arial"/>
          <w:color w:val="3B4256"/>
          <w:sz w:val="26"/>
          <w:szCs w:val="26"/>
          <w:lang w:eastAsia="ru-RU"/>
        </w:rPr>
        <w:t xml:space="preserve"> ред. постановления Правительства РФ от 17.02.2014 N 113)</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proofErr w:type="gramStart"/>
      <w:r w:rsidRPr="00BB6016">
        <w:rPr>
          <w:rFonts w:ascii="inherit" w:eastAsia="Times New Roman" w:hAnsi="inherit" w:cs="Arial"/>
          <w:color w:val="3B4256"/>
          <w:sz w:val="26"/>
          <w:szCs w:val="26"/>
          <w:lang w:eastAsia="ru-RU"/>
        </w:rPr>
        <w:t>а</w:t>
      </w:r>
      <w:proofErr w:type="gramEnd"/>
      <w:r w:rsidRPr="00BB6016">
        <w:rPr>
          <w:rFonts w:ascii="inherit" w:eastAsia="Times New Roman" w:hAnsi="inherit" w:cs="Arial"/>
          <w:color w:val="3B4256"/>
          <w:sz w:val="26"/>
          <w:szCs w:val="26"/>
          <w:lang w:eastAsia="ru-RU"/>
        </w:rPr>
        <w:t>) участок для выжигания сухой травянистой растительности располагается на расстоянии не ближе 50 метров от ближайшего объекта;</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proofErr w:type="gramStart"/>
      <w:r w:rsidRPr="00BB6016">
        <w:rPr>
          <w:rFonts w:ascii="inherit" w:eastAsia="Times New Roman" w:hAnsi="inherit" w:cs="Arial"/>
          <w:color w:val="3B4256"/>
          <w:sz w:val="26"/>
          <w:szCs w:val="26"/>
          <w:lang w:eastAsia="ru-RU"/>
        </w:rPr>
        <w:t>б</w:t>
      </w:r>
      <w:proofErr w:type="gramEnd"/>
      <w:r w:rsidRPr="00BB6016">
        <w:rPr>
          <w:rFonts w:ascii="inherit" w:eastAsia="Times New Roman" w:hAnsi="inherit" w:cs="Arial"/>
          <w:color w:val="3B4256"/>
          <w:sz w:val="26"/>
          <w:szCs w:val="26"/>
          <w:lang w:eastAsia="ru-RU"/>
        </w:rPr>
        <w:t>)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proofErr w:type="gramStart"/>
      <w:r w:rsidRPr="00BB6016">
        <w:rPr>
          <w:rFonts w:ascii="inherit" w:eastAsia="Times New Roman" w:hAnsi="inherit" w:cs="Arial"/>
          <w:color w:val="3B4256"/>
          <w:sz w:val="26"/>
          <w:szCs w:val="26"/>
          <w:lang w:eastAsia="ru-RU"/>
        </w:rPr>
        <w:t>в</w:t>
      </w:r>
      <w:proofErr w:type="gramEnd"/>
      <w:r w:rsidRPr="00BB6016">
        <w:rPr>
          <w:rFonts w:ascii="inherit" w:eastAsia="Times New Roman" w:hAnsi="inherit" w:cs="Arial"/>
          <w:color w:val="3B4256"/>
          <w:sz w:val="26"/>
          <w:szCs w:val="26"/>
          <w:lang w:eastAsia="ru-RU"/>
        </w:rPr>
        <w:t>) на территории, включающей участок для выжигания сухой травянистой растительности, не действует особый противопожарный режим;</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proofErr w:type="gramStart"/>
      <w:r w:rsidRPr="00BB6016">
        <w:rPr>
          <w:rFonts w:ascii="inherit" w:eastAsia="Times New Roman" w:hAnsi="inherit" w:cs="Arial"/>
          <w:color w:val="3B4256"/>
          <w:sz w:val="26"/>
          <w:szCs w:val="26"/>
          <w:lang w:eastAsia="ru-RU"/>
        </w:rPr>
        <w:t>г</w:t>
      </w:r>
      <w:proofErr w:type="gramEnd"/>
      <w:r w:rsidRPr="00BB6016">
        <w:rPr>
          <w:rFonts w:ascii="inherit" w:eastAsia="Times New Roman" w:hAnsi="inherit" w:cs="Arial"/>
          <w:color w:val="3B4256"/>
          <w:sz w:val="26"/>
          <w:szCs w:val="26"/>
          <w:lang w:eastAsia="ru-RU"/>
        </w:rPr>
        <w:t>) лица, участвующие в выжигании сухой травянистой растительности, обеспечены первичными средствами пожаротушения.</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t>(</w:t>
      </w:r>
      <w:proofErr w:type="gramStart"/>
      <w:r w:rsidRPr="00BB6016">
        <w:rPr>
          <w:rFonts w:ascii="inherit" w:eastAsia="Times New Roman" w:hAnsi="inherit" w:cs="Arial"/>
          <w:color w:val="3B4256"/>
          <w:sz w:val="26"/>
          <w:szCs w:val="26"/>
          <w:lang w:eastAsia="ru-RU"/>
        </w:rPr>
        <w:t>п.</w:t>
      </w:r>
      <w:proofErr w:type="gramEnd"/>
      <w:r w:rsidRPr="00BB6016">
        <w:rPr>
          <w:rFonts w:ascii="inherit" w:eastAsia="Times New Roman" w:hAnsi="inherit" w:cs="Arial"/>
          <w:color w:val="3B4256"/>
          <w:sz w:val="26"/>
          <w:szCs w:val="26"/>
          <w:lang w:eastAsia="ru-RU"/>
        </w:rPr>
        <w:t xml:space="preserve"> 72(1) введен Постановлением Правительства РФ от 17.02.2014 N 113)</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t>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РФ от 30.06.2007 г. N 417 "Об утверждении Правил пожарной безопасности в лесах".</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lastRenderedPageBreak/>
        <w:t>218. Запрещается сжигание стерни, пожнивных остатков и разведение костров на полях.</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t>В соответствии с действующим административным законодательством за нарушение вышеуказанных требований Правил противопожарного режима в РФ предусмотрены следующие наказания:</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t>Статья 20.4. Нарушение требований пожарной безопасности</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t>1. Нарушение требований пожарной безопасности, за исключением случаев, предусмотренных статьями 8.32, 11.16 настоящего Кодекса и частями 3 - 8 настоящей статьи, -</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proofErr w:type="gramStart"/>
      <w:r w:rsidRPr="00BB6016">
        <w:rPr>
          <w:rFonts w:ascii="inherit" w:eastAsia="Times New Roman" w:hAnsi="inherit" w:cs="Arial"/>
          <w:color w:val="3B4256"/>
          <w:sz w:val="26"/>
          <w:szCs w:val="26"/>
          <w:lang w:eastAsia="ru-RU"/>
        </w:rPr>
        <w:t>влечет</w:t>
      </w:r>
      <w:proofErr w:type="gramEnd"/>
      <w:r w:rsidRPr="00BB6016">
        <w:rPr>
          <w:rFonts w:ascii="inherit" w:eastAsia="Times New Roman" w:hAnsi="inherit" w:cs="Arial"/>
          <w:color w:val="3B4256"/>
          <w:sz w:val="26"/>
          <w:szCs w:val="26"/>
          <w:lang w:eastAsia="ru-RU"/>
        </w:rPr>
        <w:t xml:space="preserve">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t>2. Те же действия, совершенные в условиях особого противопожарного режима, -</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proofErr w:type="gramStart"/>
      <w:r w:rsidRPr="00BB6016">
        <w:rPr>
          <w:rFonts w:ascii="inherit" w:eastAsia="Times New Roman" w:hAnsi="inherit" w:cs="Arial"/>
          <w:color w:val="3B4256"/>
          <w:sz w:val="26"/>
          <w:szCs w:val="26"/>
          <w:lang w:eastAsia="ru-RU"/>
        </w:rPr>
        <w:t>влекут</w:t>
      </w:r>
      <w:proofErr w:type="gramEnd"/>
      <w:r w:rsidRPr="00BB6016">
        <w:rPr>
          <w:rFonts w:ascii="inherit" w:eastAsia="Times New Roman" w:hAnsi="inherit" w:cs="Arial"/>
          <w:color w:val="3B4256"/>
          <w:sz w:val="26"/>
          <w:szCs w:val="26"/>
          <w:lang w:eastAsia="ru-RU"/>
        </w:rPr>
        <w:t xml:space="preserve">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proofErr w:type="gramStart"/>
      <w:r w:rsidRPr="00BB6016">
        <w:rPr>
          <w:rFonts w:ascii="inherit" w:eastAsia="Times New Roman" w:hAnsi="inherit" w:cs="Arial"/>
          <w:color w:val="3B4256"/>
          <w:sz w:val="26"/>
          <w:szCs w:val="26"/>
          <w:lang w:eastAsia="ru-RU"/>
        </w:rPr>
        <w:t>влечет</w:t>
      </w:r>
      <w:proofErr w:type="gramEnd"/>
      <w:r w:rsidRPr="00BB6016">
        <w:rPr>
          <w:rFonts w:ascii="inherit" w:eastAsia="Times New Roman" w:hAnsi="inherit" w:cs="Arial"/>
          <w:color w:val="3B4256"/>
          <w:sz w:val="26"/>
          <w:szCs w:val="26"/>
          <w:lang w:eastAsia="ru-RU"/>
        </w:rPr>
        <w:t xml:space="preserve">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r w:rsidRPr="00BB6016">
        <w:rPr>
          <w:rFonts w:ascii="inherit" w:eastAsia="Times New Roman" w:hAnsi="inherit" w:cs="Arial"/>
          <w:color w:val="3B4256"/>
          <w:sz w:val="26"/>
          <w:szCs w:val="26"/>
          <w:lang w:eastAsia="ru-RU"/>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BB6016" w:rsidRPr="00BB6016" w:rsidRDefault="00BB6016" w:rsidP="00BB6016">
      <w:pPr>
        <w:spacing w:after="300" w:line="383" w:lineRule="atLeast"/>
        <w:textAlignment w:val="baseline"/>
        <w:rPr>
          <w:rFonts w:ascii="inherit" w:eastAsia="Times New Roman" w:hAnsi="inherit" w:cs="Arial"/>
          <w:color w:val="3B4256"/>
          <w:sz w:val="26"/>
          <w:szCs w:val="26"/>
          <w:lang w:eastAsia="ru-RU"/>
        </w:rPr>
      </w:pPr>
      <w:proofErr w:type="gramStart"/>
      <w:r w:rsidRPr="00BB6016">
        <w:rPr>
          <w:rFonts w:ascii="inherit" w:eastAsia="Times New Roman" w:hAnsi="inherit" w:cs="Arial"/>
          <w:color w:val="3B4256"/>
          <w:sz w:val="26"/>
          <w:szCs w:val="26"/>
          <w:lang w:eastAsia="ru-RU"/>
        </w:rPr>
        <w:t>влечет</w:t>
      </w:r>
      <w:proofErr w:type="gramEnd"/>
      <w:r w:rsidRPr="00BB6016">
        <w:rPr>
          <w:rFonts w:ascii="inherit" w:eastAsia="Times New Roman" w:hAnsi="inherit" w:cs="Arial"/>
          <w:color w:val="3B4256"/>
          <w:sz w:val="26"/>
          <w:szCs w:val="26"/>
          <w:lang w:eastAsia="ru-RU"/>
        </w:rPr>
        <w:t xml:space="preserve">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BB6016" w:rsidRPr="00BB6016" w:rsidRDefault="00BB6016" w:rsidP="00BB6016">
      <w:pPr>
        <w:spacing w:line="383" w:lineRule="atLeast"/>
        <w:textAlignment w:val="baseline"/>
        <w:rPr>
          <w:rFonts w:ascii="inherit" w:eastAsia="Times New Roman" w:hAnsi="inherit" w:cs="Arial"/>
          <w:color w:val="3B4256"/>
          <w:sz w:val="26"/>
          <w:szCs w:val="26"/>
          <w:lang w:eastAsia="ru-RU"/>
        </w:rPr>
      </w:pPr>
    </w:p>
    <w:p w:rsidR="00BB6016" w:rsidRPr="00BB6016" w:rsidRDefault="00BB6016" w:rsidP="00BB6016">
      <w:pPr>
        <w:spacing w:after="0" w:line="240" w:lineRule="auto"/>
        <w:textAlignment w:val="baseline"/>
        <w:rPr>
          <w:rFonts w:ascii="Arial" w:eastAsia="Times New Roman" w:hAnsi="Arial" w:cs="Arial"/>
          <w:color w:val="3B4256"/>
          <w:sz w:val="24"/>
          <w:szCs w:val="24"/>
          <w:lang w:eastAsia="ru-RU"/>
        </w:rPr>
      </w:pPr>
      <w:hyperlink r:id="rId5" w:tooltip="Правила использования электроприборов" w:history="1">
        <w:r w:rsidRPr="00BB6016">
          <w:rPr>
            <w:rFonts w:ascii="inherit" w:eastAsia="Times New Roman" w:hAnsi="inherit" w:cs="Arial"/>
            <w:color w:val="3B4256"/>
            <w:sz w:val="24"/>
            <w:szCs w:val="24"/>
            <w:bdr w:val="none" w:sz="0" w:space="0" w:color="auto" w:frame="1"/>
            <w:lang w:eastAsia="ru-RU"/>
          </w:rPr>
          <w:t xml:space="preserve">Правила использования </w:t>
        </w:r>
        <w:proofErr w:type="spellStart"/>
        <w:r w:rsidRPr="00BB6016">
          <w:rPr>
            <w:rFonts w:ascii="inherit" w:eastAsia="Times New Roman" w:hAnsi="inherit" w:cs="Arial"/>
            <w:color w:val="3B4256"/>
            <w:sz w:val="24"/>
            <w:szCs w:val="24"/>
            <w:bdr w:val="none" w:sz="0" w:space="0" w:color="auto" w:frame="1"/>
            <w:lang w:eastAsia="ru-RU"/>
          </w:rPr>
          <w:t>электроприборов</w:t>
        </w:r>
      </w:hyperlink>
      <w:hyperlink r:id="rId6" w:tooltip="Правила поведения в условиях возможного химического заражения" w:history="1">
        <w:r w:rsidRPr="00BB6016">
          <w:rPr>
            <w:rFonts w:ascii="inherit" w:eastAsia="Times New Roman" w:hAnsi="inherit" w:cs="Arial"/>
            <w:color w:val="3B4256"/>
            <w:sz w:val="24"/>
            <w:szCs w:val="24"/>
            <w:bdr w:val="none" w:sz="0" w:space="0" w:color="auto" w:frame="1"/>
            <w:lang w:eastAsia="ru-RU"/>
          </w:rPr>
          <w:t>Правила</w:t>
        </w:r>
        <w:proofErr w:type="spellEnd"/>
        <w:r w:rsidRPr="00BB6016">
          <w:rPr>
            <w:rFonts w:ascii="inherit" w:eastAsia="Times New Roman" w:hAnsi="inherit" w:cs="Arial"/>
            <w:color w:val="3B4256"/>
            <w:sz w:val="24"/>
            <w:szCs w:val="24"/>
            <w:bdr w:val="none" w:sz="0" w:space="0" w:color="auto" w:frame="1"/>
            <w:lang w:eastAsia="ru-RU"/>
          </w:rPr>
          <w:t xml:space="preserve"> поведения в условиях возможного химического </w:t>
        </w:r>
        <w:proofErr w:type="spellStart"/>
        <w:r w:rsidRPr="00BB6016">
          <w:rPr>
            <w:rFonts w:ascii="inherit" w:eastAsia="Times New Roman" w:hAnsi="inherit" w:cs="Arial"/>
            <w:color w:val="3B4256"/>
            <w:sz w:val="24"/>
            <w:szCs w:val="24"/>
            <w:bdr w:val="none" w:sz="0" w:space="0" w:color="auto" w:frame="1"/>
            <w:lang w:eastAsia="ru-RU"/>
          </w:rPr>
          <w:t>заражения</w:t>
        </w:r>
      </w:hyperlink>
      <w:hyperlink r:id="rId7" w:tooltip="Правила эксплуатации газовых отопительных печей" w:history="1">
        <w:r w:rsidRPr="00BB6016">
          <w:rPr>
            <w:rFonts w:ascii="inherit" w:eastAsia="Times New Roman" w:hAnsi="inherit" w:cs="Arial"/>
            <w:color w:val="3B4256"/>
            <w:sz w:val="24"/>
            <w:szCs w:val="24"/>
            <w:bdr w:val="none" w:sz="0" w:space="0" w:color="auto" w:frame="1"/>
            <w:lang w:eastAsia="ru-RU"/>
          </w:rPr>
          <w:t>Правила</w:t>
        </w:r>
        <w:proofErr w:type="spellEnd"/>
        <w:r w:rsidRPr="00BB6016">
          <w:rPr>
            <w:rFonts w:ascii="inherit" w:eastAsia="Times New Roman" w:hAnsi="inherit" w:cs="Arial"/>
            <w:color w:val="3B4256"/>
            <w:sz w:val="24"/>
            <w:szCs w:val="24"/>
            <w:bdr w:val="none" w:sz="0" w:space="0" w:color="auto" w:frame="1"/>
            <w:lang w:eastAsia="ru-RU"/>
          </w:rPr>
          <w:t xml:space="preserve"> эксплуатации газовых отопительных </w:t>
        </w:r>
        <w:proofErr w:type="spellStart"/>
        <w:r w:rsidRPr="00BB6016">
          <w:rPr>
            <w:rFonts w:ascii="inherit" w:eastAsia="Times New Roman" w:hAnsi="inherit" w:cs="Arial"/>
            <w:color w:val="3B4256"/>
            <w:sz w:val="24"/>
            <w:szCs w:val="24"/>
            <w:bdr w:val="none" w:sz="0" w:space="0" w:color="auto" w:frame="1"/>
            <w:lang w:eastAsia="ru-RU"/>
          </w:rPr>
          <w:t>печей</w:t>
        </w:r>
      </w:hyperlink>
      <w:hyperlink r:id="rId8" w:tooltip="Правила поведения при пожаре в лифте" w:history="1">
        <w:r w:rsidRPr="00BB6016">
          <w:rPr>
            <w:rFonts w:ascii="inherit" w:eastAsia="Times New Roman" w:hAnsi="inherit" w:cs="Arial"/>
            <w:color w:val="3B4256"/>
            <w:sz w:val="24"/>
            <w:szCs w:val="24"/>
            <w:bdr w:val="none" w:sz="0" w:space="0" w:color="auto" w:frame="1"/>
            <w:lang w:eastAsia="ru-RU"/>
          </w:rPr>
          <w:t>Правила</w:t>
        </w:r>
        <w:proofErr w:type="spellEnd"/>
        <w:r w:rsidRPr="00BB6016">
          <w:rPr>
            <w:rFonts w:ascii="inherit" w:eastAsia="Times New Roman" w:hAnsi="inherit" w:cs="Arial"/>
            <w:color w:val="3B4256"/>
            <w:sz w:val="24"/>
            <w:szCs w:val="24"/>
            <w:bdr w:val="none" w:sz="0" w:space="0" w:color="auto" w:frame="1"/>
            <w:lang w:eastAsia="ru-RU"/>
          </w:rPr>
          <w:t xml:space="preserve"> поведения при пожаре в </w:t>
        </w:r>
        <w:proofErr w:type="spellStart"/>
        <w:r w:rsidRPr="00BB6016">
          <w:rPr>
            <w:rFonts w:ascii="inherit" w:eastAsia="Times New Roman" w:hAnsi="inherit" w:cs="Arial"/>
            <w:color w:val="3B4256"/>
            <w:sz w:val="24"/>
            <w:szCs w:val="24"/>
            <w:bdr w:val="none" w:sz="0" w:space="0" w:color="auto" w:frame="1"/>
            <w:lang w:eastAsia="ru-RU"/>
          </w:rPr>
          <w:t>лифте</w:t>
        </w:r>
      </w:hyperlink>
      <w:hyperlink r:id="rId9" w:tooltip="Что делать во время отключения электричества" w:history="1">
        <w:r w:rsidRPr="00BB6016">
          <w:rPr>
            <w:rFonts w:ascii="inherit" w:eastAsia="Times New Roman" w:hAnsi="inherit" w:cs="Arial"/>
            <w:color w:val="3B4256"/>
            <w:sz w:val="24"/>
            <w:szCs w:val="24"/>
            <w:bdr w:val="none" w:sz="0" w:space="0" w:color="auto" w:frame="1"/>
            <w:lang w:eastAsia="ru-RU"/>
          </w:rPr>
          <w:t>Что</w:t>
        </w:r>
        <w:proofErr w:type="spellEnd"/>
        <w:r w:rsidRPr="00BB6016">
          <w:rPr>
            <w:rFonts w:ascii="inherit" w:eastAsia="Times New Roman" w:hAnsi="inherit" w:cs="Arial"/>
            <w:color w:val="3B4256"/>
            <w:sz w:val="24"/>
            <w:szCs w:val="24"/>
            <w:bdr w:val="none" w:sz="0" w:space="0" w:color="auto" w:frame="1"/>
            <w:lang w:eastAsia="ru-RU"/>
          </w:rPr>
          <w:t xml:space="preserve"> делать во время отключения </w:t>
        </w:r>
        <w:proofErr w:type="spellStart"/>
        <w:r w:rsidRPr="00BB6016">
          <w:rPr>
            <w:rFonts w:ascii="inherit" w:eastAsia="Times New Roman" w:hAnsi="inherit" w:cs="Arial"/>
            <w:color w:val="3B4256"/>
            <w:sz w:val="24"/>
            <w:szCs w:val="24"/>
            <w:bdr w:val="none" w:sz="0" w:space="0" w:color="auto" w:frame="1"/>
            <w:lang w:eastAsia="ru-RU"/>
          </w:rPr>
          <w:t>электричества</w:t>
        </w:r>
      </w:hyperlink>
      <w:hyperlink r:id="rId10" w:tooltip="Правила обращения с газовыми баллонами" w:history="1">
        <w:r w:rsidRPr="00BB6016">
          <w:rPr>
            <w:rFonts w:ascii="inherit" w:eastAsia="Times New Roman" w:hAnsi="inherit" w:cs="Arial"/>
            <w:color w:val="3B4256"/>
            <w:sz w:val="24"/>
            <w:szCs w:val="24"/>
            <w:bdr w:val="none" w:sz="0" w:space="0" w:color="auto" w:frame="1"/>
            <w:lang w:eastAsia="ru-RU"/>
          </w:rPr>
          <w:t>Правила</w:t>
        </w:r>
        <w:proofErr w:type="spellEnd"/>
        <w:r w:rsidRPr="00BB6016">
          <w:rPr>
            <w:rFonts w:ascii="inherit" w:eastAsia="Times New Roman" w:hAnsi="inherit" w:cs="Arial"/>
            <w:color w:val="3B4256"/>
            <w:sz w:val="24"/>
            <w:szCs w:val="24"/>
            <w:bdr w:val="none" w:sz="0" w:space="0" w:color="auto" w:frame="1"/>
            <w:lang w:eastAsia="ru-RU"/>
          </w:rPr>
          <w:t xml:space="preserve"> обращения с газовыми </w:t>
        </w:r>
        <w:proofErr w:type="spellStart"/>
        <w:r w:rsidRPr="00BB6016">
          <w:rPr>
            <w:rFonts w:ascii="inherit" w:eastAsia="Times New Roman" w:hAnsi="inherit" w:cs="Arial"/>
            <w:color w:val="3B4256"/>
            <w:sz w:val="24"/>
            <w:szCs w:val="24"/>
            <w:bdr w:val="none" w:sz="0" w:space="0" w:color="auto" w:frame="1"/>
            <w:lang w:eastAsia="ru-RU"/>
          </w:rPr>
          <w:t>баллонами</w:t>
        </w:r>
      </w:hyperlink>
      <w:hyperlink r:id="rId11" w:tooltip="Правила поведения при загорании в квартире (доме)" w:history="1">
        <w:r w:rsidRPr="00BB6016">
          <w:rPr>
            <w:rFonts w:ascii="inherit" w:eastAsia="Times New Roman" w:hAnsi="inherit" w:cs="Arial"/>
            <w:color w:val="3B4256"/>
            <w:sz w:val="24"/>
            <w:szCs w:val="24"/>
            <w:bdr w:val="none" w:sz="0" w:space="0" w:color="auto" w:frame="1"/>
            <w:lang w:eastAsia="ru-RU"/>
          </w:rPr>
          <w:t>Правила</w:t>
        </w:r>
        <w:proofErr w:type="spellEnd"/>
        <w:r w:rsidRPr="00BB6016">
          <w:rPr>
            <w:rFonts w:ascii="inherit" w:eastAsia="Times New Roman" w:hAnsi="inherit" w:cs="Arial"/>
            <w:color w:val="3B4256"/>
            <w:sz w:val="24"/>
            <w:szCs w:val="24"/>
            <w:bdr w:val="none" w:sz="0" w:space="0" w:color="auto" w:frame="1"/>
            <w:lang w:eastAsia="ru-RU"/>
          </w:rPr>
          <w:t xml:space="preserve"> поведения при загорании в квартире (доме)</w:t>
        </w:r>
      </w:hyperlink>
      <w:hyperlink r:id="rId12" w:tooltip="Меры предосторожности при использовании обогревательных приборов" w:history="1">
        <w:r w:rsidRPr="00BB6016">
          <w:rPr>
            <w:rFonts w:ascii="inherit" w:eastAsia="Times New Roman" w:hAnsi="inherit" w:cs="Arial"/>
            <w:color w:val="3B4256"/>
            <w:sz w:val="24"/>
            <w:szCs w:val="24"/>
            <w:bdr w:val="none" w:sz="0" w:space="0" w:color="auto" w:frame="1"/>
            <w:lang w:eastAsia="ru-RU"/>
          </w:rPr>
          <w:t xml:space="preserve">Меры предосторожности при использовании обогревательных </w:t>
        </w:r>
        <w:proofErr w:type="spellStart"/>
        <w:r w:rsidRPr="00BB6016">
          <w:rPr>
            <w:rFonts w:ascii="inherit" w:eastAsia="Times New Roman" w:hAnsi="inherit" w:cs="Arial"/>
            <w:color w:val="3B4256"/>
            <w:sz w:val="24"/>
            <w:szCs w:val="24"/>
            <w:bdr w:val="none" w:sz="0" w:space="0" w:color="auto" w:frame="1"/>
            <w:lang w:eastAsia="ru-RU"/>
          </w:rPr>
          <w:t>приборов</w:t>
        </w:r>
      </w:hyperlink>
      <w:hyperlink r:id="rId13" w:tooltip="Правила пожарной безопасности для автомобилистов" w:history="1">
        <w:r w:rsidRPr="00BB6016">
          <w:rPr>
            <w:rFonts w:ascii="inherit" w:eastAsia="Times New Roman" w:hAnsi="inherit" w:cs="Arial"/>
            <w:color w:val="3B4256"/>
            <w:sz w:val="24"/>
            <w:szCs w:val="24"/>
            <w:bdr w:val="none" w:sz="0" w:space="0" w:color="auto" w:frame="1"/>
            <w:lang w:eastAsia="ru-RU"/>
          </w:rPr>
          <w:t>Правила</w:t>
        </w:r>
        <w:proofErr w:type="spellEnd"/>
        <w:r w:rsidRPr="00BB6016">
          <w:rPr>
            <w:rFonts w:ascii="inherit" w:eastAsia="Times New Roman" w:hAnsi="inherit" w:cs="Arial"/>
            <w:color w:val="3B4256"/>
            <w:sz w:val="24"/>
            <w:szCs w:val="24"/>
            <w:bdr w:val="none" w:sz="0" w:space="0" w:color="auto" w:frame="1"/>
            <w:lang w:eastAsia="ru-RU"/>
          </w:rPr>
          <w:t xml:space="preserve"> пожарной безопасности для </w:t>
        </w:r>
        <w:proofErr w:type="spellStart"/>
        <w:r w:rsidRPr="00BB6016">
          <w:rPr>
            <w:rFonts w:ascii="inherit" w:eastAsia="Times New Roman" w:hAnsi="inherit" w:cs="Arial"/>
            <w:color w:val="3B4256"/>
            <w:sz w:val="24"/>
            <w:szCs w:val="24"/>
            <w:bdr w:val="none" w:sz="0" w:space="0" w:color="auto" w:frame="1"/>
            <w:lang w:eastAsia="ru-RU"/>
          </w:rPr>
          <w:t>автомобилистов</w:t>
        </w:r>
      </w:hyperlink>
      <w:hyperlink r:id="rId14" w:tooltip="Правила противопожарного режима в Российской Федерации" w:history="1">
        <w:r w:rsidRPr="00BB6016">
          <w:rPr>
            <w:rFonts w:ascii="inherit" w:eastAsia="Times New Roman" w:hAnsi="inherit" w:cs="Arial"/>
            <w:color w:val="3B4256"/>
            <w:sz w:val="24"/>
            <w:szCs w:val="24"/>
            <w:bdr w:val="none" w:sz="0" w:space="0" w:color="auto" w:frame="1"/>
            <w:lang w:eastAsia="ru-RU"/>
          </w:rPr>
          <w:t>Правила</w:t>
        </w:r>
        <w:proofErr w:type="spellEnd"/>
        <w:r w:rsidRPr="00BB6016">
          <w:rPr>
            <w:rFonts w:ascii="inherit" w:eastAsia="Times New Roman" w:hAnsi="inherit" w:cs="Arial"/>
            <w:color w:val="3B4256"/>
            <w:sz w:val="24"/>
            <w:szCs w:val="24"/>
            <w:bdr w:val="none" w:sz="0" w:space="0" w:color="auto" w:frame="1"/>
            <w:lang w:eastAsia="ru-RU"/>
          </w:rPr>
          <w:t xml:space="preserve"> противопожарного режима в Российской </w:t>
        </w:r>
        <w:proofErr w:type="spellStart"/>
        <w:r w:rsidRPr="00BB6016">
          <w:rPr>
            <w:rFonts w:ascii="inherit" w:eastAsia="Times New Roman" w:hAnsi="inherit" w:cs="Arial"/>
            <w:color w:val="3B4256"/>
            <w:sz w:val="24"/>
            <w:szCs w:val="24"/>
            <w:bdr w:val="none" w:sz="0" w:space="0" w:color="auto" w:frame="1"/>
            <w:lang w:eastAsia="ru-RU"/>
          </w:rPr>
          <w:t>Федерации</w:t>
        </w:r>
      </w:hyperlink>
      <w:hyperlink r:id="rId15" w:tooltip="Пожарная безопасность в жилых помещениях" w:history="1">
        <w:r w:rsidRPr="00BB6016">
          <w:rPr>
            <w:rFonts w:ascii="inherit" w:eastAsia="Times New Roman" w:hAnsi="inherit" w:cs="Arial"/>
            <w:color w:val="3B4256"/>
            <w:sz w:val="24"/>
            <w:szCs w:val="24"/>
            <w:bdr w:val="none" w:sz="0" w:space="0" w:color="auto" w:frame="1"/>
            <w:lang w:eastAsia="ru-RU"/>
          </w:rPr>
          <w:t>Пожарная</w:t>
        </w:r>
        <w:proofErr w:type="spellEnd"/>
        <w:r w:rsidRPr="00BB6016">
          <w:rPr>
            <w:rFonts w:ascii="inherit" w:eastAsia="Times New Roman" w:hAnsi="inherit" w:cs="Arial"/>
            <w:color w:val="3B4256"/>
            <w:sz w:val="24"/>
            <w:szCs w:val="24"/>
            <w:bdr w:val="none" w:sz="0" w:space="0" w:color="auto" w:frame="1"/>
            <w:lang w:eastAsia="ru-RU"/>
          </w:rPr>
          <w:t xml:space="preserve"> безопасность в жилых помещениях</w:t>
        </w:r>
      </w:hyperlink>
    </w:p>
    <w:p w:rsidR="00BB6016" w:rsidRPr="00BB6016" w:rsidRDefault="00BB6016" w:rsidP="00BB6016">
      <w:pPr>
        <w:numPr>
          <w:ilvl w:val="0"/>
          <w:numId w:val="1"/>
        </w:numPr>
        <w:shd w:val="clear" w:color="auto" w:fill="FFFFFF"/>
        <w:spacing w:after="0" w:line="240" w:lineRule="auto"/>
        <w:ind w:left="45" w:right="45"/>
        <w:textAlignment w:val="baseline"/>
        <w:rPr>
          <w:rFonts w:ascii="Arial" w:eastAsia="Times New Roman" w:hAnsi="Arial" w:cs="Arial"/>
          <w:color w:val="3B4256"/>
          <w:sz w:val="24"/>
          <w:szCs w:val="24"/>
          <w:lang w:eastAsia="ru-RU"/>
        </w:rPr>
      </w:pPr>
      <w:r w:rsidRPr="00BB6016">
        <w:rPr>
          <w:rFonts w:ascii="Arial" w:eastAsia="Times New Roman" w:hAnsi="Arial" w:cs="Arial"/>
          <w:color w:val="3B4256"/>
          <w:sz w:val="24"/>
          <w:szCs w:val="24"/>
          <w:lang w:eastAsia="ru-RU"/>
        </w:rPr>
        <w:t>1</w:t>
      </w:r>
    </w:p>
    <w:p w:rsidR="00BB6016" w:rsidRPr="00BB6016" w:rsidRDefault="00BB6016" w:rsidP="00BB6016">
      <w:pPr>
        <w:numPr>
          <w:ilvl w:val="0"/>
          <w:numId w:val="1"/>
        </w:numPr>
        <w:spacing w:after="0" w:line="240" w:lineRule="auto"/>
        <w:ind w:left="45" w:right="45"/>
        <w:textAlignment w:val="baseline"/>
        <w:rPr>
          <w:rFonts w:ascii="Arial" w:eastAsia="Times New Roman" w:hAnsi="Arial" w:cs="Arial"/>
          <w:color w:val="3B4256"/>
          <w:sz w:val="24"/>
          <w:szCs w:val="24"/>
          <w:lang w:eastAsia="ru-RU"/>
        </w:rPr>
      </w:pPr>
      <w:r w:rsidRPr="00BB6016">
        <w:rPr>
          <w:rFonts w:ascii="Arial" w:eastAsia="Times New Roman" w:hAnsi="Arial" w:cs="Arial"/>
          <w:color w:val="3B4256"/>
          <w:sz w:val="24"/>
          <w:szCs w:val="24"/>
          <w:lang w:eastAsia="ru-RU"/>
        </w:rPr>
        <w:t>2</w:t>
      </w:r>
    </w:p>
    <w:p w:rsidR="00BB6016" w:rsidRPr="00BB6016" w:rsidRDefault="00BB6016" w:rsidP="00BB6016">
      <w:pPr>
        <w:numPr>
          <w:ilvl w:val="0"/>
          <w:numId w:val="1"/>
        </w:numPr>
        <w:spacing w:line="240" w:lineRule="auto"/>
        <w:ind w:left="45" w:right="45"/>
        <w:textAlignment w:val="baseline"/>
        <w:rPr>
          <w:rFonts w:ascii="Arial" w:eastAsia="Times New Roman" w:hAnsi="Arial" w:cs="Arial"/>
          <w:color w:val="3B4256"/>
          <w:sz w:val="24"/>
          <w:szCs w:val="24"/>
          <w:lang w:eastAsia="ru-RU"/>
        </w:rPr>
      </w:pPr>
      <w:r w:rsidRPr="00BB6016">
        <w:rPr>
          <w:rFonts w:ascii="Arial" w:eastAsia="Times New Roman" w:hAnsi="Arial" w:cs="Arial"/>
          <w:color w:val="3B4256"/>
          <w:sz w:val="24"/>
          <w:szCs w:val="24"/>
          <w:lang w:eastAsia="ru-RU"/>
        </w:rPr>
        <w:t>3</w:t>
      </w:r>
    </w:p>
    <w:p w:rsidR="00BB6016" w:rsidRPr="00BB6016" w:rsidRDefault="00BB6016" w:rsidP="00BB6016">
      <w:pPr>
        <w:spacing w:after="0" w:line="240" w:lineRule="auto"/>
        <w:textAlignment w:val="baseline"/>
        <w:rPr>
          <w:rFonts w:ascii="Arial" w:eastAsia="Times New Roman" w:hAnsi="Arial" w:cs="Arial"/>
          <w:color w:val="2C2C2C"/>
          <w:sz w:val="24"/>
          <w:szCs w:val="24"/>
          <w:lang w:eastAsia="ru-RU"/>
        </w:rPr>
      </w:pPr>
      <w:hyperlink r:id="rId16" w:tooltip="01 или 101" w:history="1">
        <w:r w:rsidRPr="00BB6016">
          <w:rPr>
            <w:rFonts w:ascii="inherit" w:eastAsia="Times New Roman" w:hAnsi="inherit" w:cs="Arial"/>
            <w:color w:val="2C2C2C"/>
            <w:sz w:val="30"/>
            <w:szCs w:val="30"/>
            <w:bdr w:val="none" w:sz="0" w:space="0" w:color="auto" w:frame="1"/>
            <w:lang w:eastAsia="ru-RU"/>
          </w:rPr>
          <w:t>01 или 101</w:t>
        </w:r>
      </w:hyperlink>
    </w:p>
    <w:p w:rsidR="00BB6016" w:rsidRPr="00BB6016" w:rsidRDefault="00BB6016" w:rsidP="00BB6016">
      <w:pPr>
        <w:spacing w:line="315" w:lineRule="atLeast"/>
        <w:textAlignment w:val="baseline"/>
        <w:rPr>
          <w:rFonts w:ascii="inherit" w:eastAsia="Times New Roman" w:hAnsi="inherit" w:cs="Arial"/>
          <w:color w:val="2C2C2C"/>
          <w:sz w:val="24"/>
          <w:szCs w:val="24"/>
          <w:lang w:eastAsia="ru-RU"/>
        </w:rPr>
      </w:pPr>
      <w:r w:rsidRPr="00BB6016">
        <w:rPr>
          <w:rFonts w:ascii="inherit" w:eastAsia="Times New Roman" w:hAnsi="inherit" w:cs="Arial"/>
          <w:color w:val="2C2C2C"/>
          <w:sz w:val="24"/>
          <w:szCs w:val="24"/>
          <w:lang w:eastAsia="ru-RU"/>
        </w:rPr>
        <w:t>Единый телефон пожарных и спасателей</w:t>
      </w:r>
    </w:p>
    <w:p w:rsidR="00BB6016" w:rsidRPr="00BB6016" w:rsidRDefault="00BB6016" w:rsidP="00BB6016">
      <w:pPr>
        <w:spacing w:after="0" w:line="240" w:lineRule="auto"/>
        <w:textAlignment w:val="baseline"/>
        <w:rPr>
          <w:rFonts w:ascii="Arial" w:eastAsia="Times New Roman" w:hAnsi="Arial" w:cs="Arial"/>
          <w:color w:val="2C2C2C"/>
          <w:sz w:val="24"/>
          <w:szCs w:val="24"/>
          <w:lang w:eastAsia="ru-RU"/>
        </w:rPr>
      </w:pPr>
      <w:hyperlink r:id="rId17" w:tooltip="8 (473) 277-99-00" w:history="1">
        <w:r w:rsidRPr="00BB6016">
          <w:rPr>
            <w:rFonts w:ascii="inherit" w:eastAsia="Times New Roman" w:hAnsi="inherit" w:cs="Arial"/>
            <w:color w:val="2C2C2C"/>
            <w:sz w:val="30"/>
            <w:szCs w:val="30"/>
            <w:bdr w:val="none" w:sz="0" w:space="0" w:color="auto" w:frame="1"/>
            <w:lang w:eastAsia="ru-RU"/>
          </w:rPr>
          <w:t>8 (473) 277-99-00</w:t>
        </w:r>
      </w:hyperlink>
    </w:p>
    <w:p w:rsidR="00BB6016" w:rsidRPr="00BB6016" w:rsidRDefault="00BB6016" w:rsidP="00BB6016">
      <w:pPr>
        <w:spacing w:line="315" w:lineRule="atLeast"/>
        <w:textAlignment w:val="baseline"/>
        <w:rPr>
          <w:rFonts w:ascii="inherit" w:eastAsia="Times New Roman" w:hAnsi="inherit" w:cs="Arial"/>
          <w:color w:val="2C2C2C"/>
          <w:sz w:val="24"/>
          <w:szCs w:val="24"/>
          <w:lang w:eastAsia="ru-RU"/>
        </w:rPr>
      </w:pPr>
      <w:r w:rsidRPr="00BB6016">
        <w:rPr>
          <w:rFonts w:ascii="inherit" w:eastAsia="Times New Roman" w:hAnsi="inherit" w:cs="Arial"/>
          <w:color w:val="2C2C2C"/>
          <w:sz w:val="24"/>
          <w:szCs w:val="24"/>
          <w:lang w:eastAsia="ru-RU"/>
        </w:rPr>
        <w:t>Телефон доверия</w:t>
      </w:r>
    </w:p>
    <w:p w:rsidR="00BB6016" w:rsidRPr="00BB6016" w:rsidRDefault="00BB6016" w:rsidP="00BB6016">
      <w:pPr>
        <w:spacing w:after="0" w:line="240" w:lineRule="auto"/>
        <w:textAlignment w:val="baseline"/>
        <w:rPr>
          <w:rFonts w:ascii="Arial" w:eastAsia="Times New Roman" w:hAnsi="Arial" w:cs="Arial"/>
          <w:color w:val="2C2C2C"/>
          <w:sz w:val="24"/>
          <w:szCs w:val="24"/>
          <w:lang w:eastAsia="ru-RU"/>
        </w:rPr>
      </w:pPr>
      <w:hyperlink r:id="rId18" w:tooltip="mchs-vrn@36.mchs.gov.ru" w:history="1">
        <w:r w:rsidRPr="00BB6016">
          <w:rPr>
            <w:rFonts w:ascii="inherit" w:eastAsia="Times New Roman" w:hAnsi="inherit" w:cs="Arial"/>
            <w:color w:val="2C2C2C"/>
            <w:sz w:val="27"/>
            <w:szCs w:val="27"/>
            <w:bdr w:val="none" w:sz="0" w:space="0" w:color="auto" w:frame="1"/>
            <w:lang w:eastAsia="ru-RU"/>
          </w:rPr>
          <w:t>mchs-vrn@36.mchs.gov.ru</w:t>
        </w:r>
      </w:hyperlink>
    </w:p>
    <w:p w:rsidR="00BB6016" w:rsidRPr="00BB6016" w:rsidRDefault="00BB6016" w:rsidP="00BB6016">
      <w:pPr>
        <w:spacing w:line="390" w:lineRule="atLeast"/>
        <w:textAlignment w:val="baseline"/>
        <w:rPr>
          <w:rFonts w:ascii="inherit" w:eastAsia="Times New Roman" w:hAnsi="inherit" w:cs="Arial"/>
          <w:color w:val="2C2C2C"/>
          <w:sz w:val="27"/>
          <w:szCs w:val="27"/>
          <w:lang w:eastAsia="ru-RU"/>
        </w:rPr>
      </w:pPr>
      <w:r w:rsidRPr="00BB6016">
        <w:rPr>
          <w:rFonts w:ascii="inherit" w:eastAsia="Times New Roman" w:hAnsi="inherit" w:cs="Arial"/>
          <w:color w:val="2C2C2C"/>
          <w:sz w:val="27"/>
          <w:szCs w:val="27"/>
          <w:lang w:eastAsia="ru-RU"/>
        </w:rPr>
        <w:t xml:space="preserve">394006, </w:t>
      </w:r>
      <w:proofErr w:type="spellStart"/>
      <w:proofErr w:type="gramStart"/>
      <w:r w:rsidRPr="00BB6016">
        <w:rPr>
          <w:rFonts w:ascii="inherit" w:eastAsia="Times New Roman" w:hAnsi="inherit" w:cs="Arial"/>
          <w:color w:val="2C2C2C"/>
          <w:sz w:val="27"/>
          <w:szCs w:val="27"/>
          <w:lang w:eastAsia="ru-RU"/>
        </w:rPr>
        <w:t>г.Воронеж,ул.Куцыгина</w:t>
      </w:r>
      <w:proofErr w:type="spellEnd"/>
      <w:proofErr w:type="gramEnd"/>
      <w:r w:rsidRPr="00BB6016">
        <w:rPr>
          <w:rFonts w:ascii="inherit" w:eastAsia="Times New Roman" w:hAnsi="inherit" w:cs="Arial"/>
          <w:color w:val="2C2C2C"/>
          <w:sz w:val="27"/>
          <w:szCs w:val="27"/>
          <w:lang w:eastAsia="ru-RU"/>
        </w:rPr>
        <w:t>, д.28.</w:t>
      </w:r>
    </w:p>
    <w:p w:rsidR="006F2E0F" w:rsidRDefault="006F2E0F"/>
    <w:sectPr w:rsidR="006F2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12C5F"/>
    <w:multiLevelType w:val="multilevel"/>
    <w:tmpl w:val="DE5A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16"/>
    <w:rsid w:val="006F2E0F"/>
    <w:rsid w:val="00BB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246A7-7F5B-479E-B5D7-A1F6EACA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6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601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B6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6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092741">
      <w:bodyDiv w:val="1"/>
      <w:marLeft w:val="0"/>
      <w:marRight w:val="0"/>
      <w:marTop w:val="0"/>
      <w:marBottom w:val="0"/>
      <w:divBdr>
        <w:top w:val="none" w:sz="0" w:space="0" w:color="auto"/>
        <w:left w:val="none" w:sz="0" w:space="0" w:color="auto"/>
        <w:bottom w:val="none" w:sz="0" w:space="0" w:color="auto"/>
        <w:right w:val="none" w:sz="0" w:space="0" w:color="auto"/>
      </w:divBdr>
      <w:divsChild>
        <w:div w:id="356009129">
          <w:marLeft w:val="0"/>
          <w:marRight w:val="0"/>
          <w:marTop w:val="0"/>
          <w:marBottom w:val="0"/>
          <w:divBdr>
            <w:top w:val="none" w:sz="0" w:space="0" w:color="auto"/>
            <w:left w:val="none" w:sz="0" w:space="0" w:color="auto"/>
            <w:bottom w:val="none" w:sz="0" w:space="0" w:color="auto"/>
            <w:right w:val="none" w:sz="0" w:space="0" w:color="auto"/>
          </w:divBdr>
          <w:divsChild>
            <w:div w:id="1510094652">
              <w:marLeft w:val="0"/>
              <w:marRight w:val="0"/>
              <w:marTop w:val="0"/>
              <w:marBottom w:val="0"/>
              <w:divBdr>
                <w:top w:val="none" w:sz="0" w:space="0" w:color="auto"/>
                <w:left w:val="none" w:sz="0" w:space="0" w:color="auto"/>
                <w:bottom w:val="none" w:sz="0" w:space="0" w:color="auto"/>
                <w:right w:val="none" w:sz="0" w:space="0" w:color="auto"/>
              </w:divBdr>
              <w:divsChild>
                <w:div w:id="1553033852">
                  <w:marLeft w:val="0"/>
                  <w:marRight w:val="0"/>
                  <w:marTop w:val="0"/>
                  <w:marBottom w:val="0"/>
                  <w:divBdr>
                    <w:top w:val="none" w:sz="0" w:space="0" w:color="auto"/>
                    <w:left w:val="none" w:sz="0" w:space="0" w:color="auto"/>
                    <w:bottom w:val="none" w:sz="0" w:space="0" w:color="auto"/>
                    <w:right w:val="none" w:sz="0" w:space="0" w:color="auto"/>
                  </w:divBdr>
                  <w:divsChild>
                    <w:div w:id="618027664">
                      <w:marLeft w:val="0"/>
                      <w:marRight w:val="0"/>
                      <w:marTop w:val="0"/>
                      <w:marBottom w:val="450"/>
                      <w:divBdr>
                        <w:top w:val="none" w:sz="0" w:space="0" w:color="auto"/>
                        <w:left w:val="none" w:sz="0" w:space="0" w:color="auto"/>
                        <w:bottom w:val="none" w:sz="0" w:space="0" w:color="auto"/>
                        <w:right w:val="none" w:sz="0" w:space="0" w:color="auto"/>
                      </w:divBdr>
                      <w:divsChild>
                        <w:div w:id="13104768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42778293">
                  <w:marLeft w:val="0"/>
                  <w:marRight w:val="0"/>
                  <w:marTop w:val="0"/>
                  <w:marBottom w:val="1200"/>
                  <w:divBdr>
                    <w:top w:val="none" w:sz="0" w:space="0" w:color="auto"/>
                    <w:left w:val="none" w:sz="0" w:space="0" w:color="auto"/>
                    <w:bottom w:val="none" w:sz="0" w:space="0" w:color="auto"/>
                    <w:right w:val="none" w:sz="0" w:space="0" w:color="auto"/>
                  </w:divBdr>
                  <w:divsChild>
                    <w:div w:id="7274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1946">
          <w:marLeft w:val="0"/>
          <w:marRight w:val="0"/>
          <w:marTop w:val="0"/>
          <w:marBottom w:val="0"/>
          <w:divBdr>
            <w:top w:val="none" w:sz="0" w:space="0" w:color="auto"/>
            <w:left w:val="none" w:sz="0" w:space="0" w:color="auto"/>
            <w:bottom w:val="none" w:sz="0" w:space="0" w:color="auto"/>
            <w:right w:val="none" w:sz="0" w:space="0" w:color="auto"/>
          </w:divBdr>
          <w:divsChild>
            <w:div w:id="1149133430">
              <w:marLeft w:val="0"/>
              <w:marRight w:val="0"/>
              <w:marTop w:val="0"/>
              <w:marBottom w:val="0"/>
              <w:divBdr>
                <w:top w:val="none" w:sz="0" w:space="0" w:color="auto"/>
                <w:left w:val="none" w:sz="0" w:space="0" w:color="auto"/>
                <w:bottom w:val="none" w:sz="0" w:space="0" w:color="auto"/>
                <w:right w:val="none" w:sz="0" w:space="0" w:color="auto"/>
              </w:divBdr>
              <w:divsChild>
                <w:div w:id="1812021821">
                  <w:marLeft w:val="0"/>
                  <w:marRight w:val="0"/>
                  <w:marTop w:val="360"/>
                  <w:marBottom w:val="360"/>
                  <w:divBdr>
                    <w:top w:val="none" w:sz="0" w:space="0" w:color="auto"/>
                    <w:left w:val="none" w:sz="0" w:space="0" w:color="auto"/>
                    <w:bottom w:val="none" w:sz="0" w:space="0" w:color="auto"/>
                    <w:right w:val="none" w:sz="0" w:space="0" w:color="auto"/>
                  </w:divBdr>
                  <w:divsChild>
                    <w:div w:id="839733382">
                      <w:marLeft w:val="0"/>
                      <w:marRight w:val="0"/>
                      <w:marTop w:val="0"/>
                      <w:marBottom w:val="360"/>
                      <w:divBdr>
                        <w:top w:val="none" w:sz="0" w:space="0" w:color="auto"/>
                        <w:left w:val="none" w:sz="0" w:space="0" w:color="auto"/>
                        <w:bottom w:val="none" w:sz="0" w:space="0" w:color="auto"/>
                        <w:right w:val="none" w:sz="0" w:space="0" w:color="auto"/>
                      </w:divBdr>
                    </w:div>
                    <w:div w:id="1164471068">
                      <w:marLeft w:val="0"/>
                      <w:marRight w:val="0"/>
                      <w:marTop w:val="0"/>
                      <w:marBottom w:val="360"/>
                      <w:divBdr>
                        <w:top w:val="none" w:sz="0" w:space="0" w:color="auto"/>
                        <w:left w:val="none" w:sz="0" w:space="0" w:color="auto"/>
                        <w:bottom w:val="none" w:sz="0" w:space="0" w:color="auto"/>
                        <w:right w:val="none" w:sz="0" w:space="0" w:color="auto"/>
                      </w:divBdr>
                    </w:div>
                    <w:div w:id="11502507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mchs.gov.ru/deyatelnost/bezopasnost-grazhdan/rekomendacii-naseleniyu/chrezvychaynye-situacii-tehnogennogo-haraktera/pravila-povedeniya-pri-pozhare-v-lifte" TargetMode="External"/><Relationship Id="rId13" Type="http://schemas.openxmlformats.org/officeDocument/2006/relationships/hyperlink" Target="https://36.mchs.gov.ru/deyatelnost/bezopasnost-grazhdan/rekomendacii-naseleniyu/chrezvychaynye-situacii-tehnogennogo-haraktera/pravila-pozharnoy-bezopasnosti-dlya-avtomobilistov" TargetMode="External"/><Relationship Id="rId18" Type="http://schemas.openxmlformats.org/officeDocument/2006/relationships/hyperlink" Target="mailto:mchs-vrn@36.mchs.gov.ru" TargetMode="External"/><Relationship Id="rId3" Type="http://schemas.openxmlformats.org/officeDocument/2006/relationships/settings" Target="settings.xml"/><Relationship Id="rId7" Type="http://schemas.openxmlformats.org/officeDocument/2006/relationships/hyperlink" Target="https://36.mchs.gov.ru/deyatelnost/bezopasnost-grazhdan/rekomendacii-naseleniyu/chrezvychaynye-situacii-tehnogennogo-haraktera/pravila-ekspluatacii-gazovyh-otopitelnyh-pechey" TargetMode="External"/><Relationship Id="rId12" Type="http://schemas.openxmlformats.org/officeDocument/2006/relationships/hyperlink" Target="https://36.mchs.gov.ru/deyatelnost/bezopasnost-grazhdan/rekomendacii-naseleniyu/chrezvychaynye-situacii-tehnogennogo-haraktera/mery-predostorozhnosti-pri-ispolzovanii-obogrevatelnyh-priborov" TargetMode="External"/><Relationship Id="rId17" Type="http://schemas.openxmlformats.org/officeDocument/2006/relationships/hyperlink" Target="tel:8473277990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36.mchs.gov.ru/deyatelnost/bezopasnost-grazhdan/rekomendacii-naseleniyu/chrezvychaynye-situacii-tehnogennogo-haraktera/pravila-povedeniya-v-usloviyah-vozmozhnogo-himicheskogo-zarazheniya" TargetMode="External"/><Relationship Id="rId11" Type="http://schemas.openxmlformats.org/officeDocument/2006/relationships/hyperlink" Target="https://36.mchs.gov.ru/deyatelnost/bezopasnost-grazhdan/rekomendacii-naseleniyu/chrezvychaynye-situacii-tehnogennogo-haraktera/pravila-povedeniya-pri-zagoranii-v-kvartire-dome" TargetMode="External"/><Relationship Id="rId5" Type="http://schemas.openxmlformats.org/officeDocument/2006/relationships/hyperlink" Target="https://36.mchs.gov.ru/deyatelnost/bezopasnost-grazhdan/rekomendacii-naseleniyu/chrezvychaynye-situacii-tehnogennogo-haraktera/pravila-ispolzovaniya-elektropriborov" TargetMode="External"/><Relationship Id="rId15" Type="http://schemas.openxmlformats.org/officeDocument/2006/relationships/hyperlink" Target="https://36.mchs.gov.ru/deyatelnost/bezopasnost-grazhdan/rekomendacii-naseleniyu/chrezvychaynye-situacii-tehnogennogo-haraktera/dlya-nadezhnoy-zashchity-doma-ot-pozharov-neobhodimo-pomnit-chto-ne-dopuskaetsya-ostavlyat-bez-prismotra-gazovye-i-elektronagrevatelnye-pribory-razreshat-detyam-igrat-s-ognem-spichkami-zazhigalkami-obertyvat-elektricheskie-lampy-bumagoy-materiey-i-drugimi-sgoraemymi-materialami-podveshivat-elektricheskie-provoda-na-gvozdyah-na-metallicheskih-predmetah-vklyuchat-v-odnu-shtepselnuyu-rozetku-neskolko-elektricheskih-priborov-odnovremenno-primenyat-samodelnye-elektricheskie-predohraniteli-zhuchki-vklyuchat-elektronagrevatelnye-pribory-v-neispravnye-shtepselnye-rozetki-v-celyah-preduprezhdeniya-i-ogranicheniya-rasprostraneniya-pozharov-na-cherdakah-i-v-podvalah-zhilyh-domov-neobhodimo-soblyudat-ryad-pravil-lyuki-cherdakov-dolzhny-byt-zakryty-na-zamki-ne-dopuskat-na-cherdake-sushki-belya-i-skladirovaniya-kakih-libo-sgoraemyh-materialov-podvalnoe-pomeshchenie-kazhdoy-sekcii-dolzhno-byt-razdeleno-mezhdu-soboy-nesgoraemymi-kirpichnymi-peregorodkami-kazhdaya-sekciya-podvala-dolzhna-imet-samostoyatelnyy-vyhod-naruzhu-ne-svyazannyy-s-vyhodami-iz-kvartir-i-dva-okna-ne-dopuskat-ustroystva-na-lestnichnyh-kletkah-i-pod-lestnichnymi-marshami-kladovok-ne-provodit-v-sarai-kvartirosemshchikov-elektroprovodku-sarai-pronumerovat-v-sootvetstvii-s-nomerami-kvartir-skladirovat-v-sarayah-kartofel-frukty-ovoshchi-lyzhi-sanki-detskie-kolyaski-i-predmety-pervoy-neobhodimosti-ne-stroit-sarai-v-tehnicheskih-podpolyah-zhilyh-domov-soderzhat-podvaly-v-chistote-vhodnye-dveri-podvala-zakryvat-na-zamki-ne-dopuskat-poseshcheniya-podvalnogo-pomeshcheniya-s-otkrytym-ognem-spichkami-svechami-u-kazhdogo-vhoda-v-podval-dolzhen-byt-plan-podvala-i-pravila-poseshcheniya-podvalnogo-pomeshcheniya-dlya-osvetitelnyh-priborov-podvala-obyazatelno-nalichie-plafonov-budte-ostorozhny-pri-obrashchenii-s-ognem-ne-zabyvayte-proveryat-vse-li-deystviya-po-predotvrashcheniyu-pozhara-vypolneny-eli-zhe-bylo-zamecheno-vozgoranie-neobhodimo-nemedlenno-vyzvat-sluzhbu-pozharnoy-ohrany-po-t" TargetMode="External"/><Relationship Id="rId10" Type="http://schemas.openxmlformats.org/officeDocument/2006/relationships/hyperlink" Target="https://36.mchs.gov.ru/deyatelnost/bezopasnost-grazhdan/rekomendacii-naseleniyu/chrezvychaynye-situacii-tehnogennogo-haraktera/pravila-obrashcheniya-s-gazovymi-ballonam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36.mchs.gov.ru/deyatelnost/bezopasnost-grazhdan/rekomendacii-naseleniyu/chrezvychaynye-situacii-tehnogennogo-haraktera/chto-delat-vo-vremya-otklyucheniya-elektrichestva" TargetMode="External"/><Relationship Id="rId14" Type="http://schemas.openxmlformats.org/officeDocument/2006/relationships/hyperlink" Target="https://36.mchs.gov.ru/deyatelnost/bezopasnost-grazhdan/rekomendacii-naseleniyu/chrezvychaynye-situacii-tehnogennogo-haraktera/pravila-protivopozharnogo-rezhima-v-rossiyskoy-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2024-05-20T13:03:00Z</dcterms:created>
  <dcterms:modified xsi:type="dcterms:W3CDTF">2024-05-20T13:04:00Z</dcterms:modified>
</cp:coreProperties>
</file>