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73" w:rsidRPr="009D4473" w:rsidRDefault="009D4473" w:rsidP="009D4473">
      <w:pPr>
        <w:spacing w:after="240" w:line="42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  <w:bookmarkStart w:id="0" w:name="_GoBack"/>
      <w:r w:rsidRPr="009D4473"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  <w:t>Памятка по действиям населения при угрозе террористического акта</w:t>
      </w:r>
      <w:bookmarkEnd w:id="0"/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ПАМЯТКА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ДЕЙСТВИЯМ НАСЕЛЕНИЯ И ДОЛЖНОСТНЫХ ЛИЦ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УГРОЗЕ ТЕРРОРИСТИЧЕСКОГО АКТА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Предупредительные меры и действия населения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должностных лиц при угрозе или проведении террористического акта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А. При обнаружении предмета, похожего на взрывное устройство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Предупредительные меры (меры профилактики):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- ужесточить режим пропуска на территорию организации (в том числе путем установки систем аудио- и </w:t>
      </w: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видео-наблюдения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 сигнализации);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ежедневно осуществлять обход и осмотр территории и помещений с целью обнаружения подозрительных предметов;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тщательно проверять поступающее имущество, товары, оборудование по количеству предметов, состоянию упаковки и т.д.;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разработать план эвакуации посетителей, персонала и пострадавших;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подготовить средства оповещения посетителей;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- определить (уточнить) задачи местной охраны, </w:t>
      </w:r>
      <w:proofErr w:type="spell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ВОХРа</w:t>
      </w:r>
      <w:proofErr w:type="spell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или службы безопасности объекта при эвакуации;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обеспечить (</w:t>
      </w:r>
      <w:proofErr w:type="spell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дообеспечить</w:t>
      </w:r>
      <w:proofErr w:type="spell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) служащих местной охраны, </w:t>
      </w:r>
      <w:proofErr w:type="spell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ВОХРа</w:t>
      </w:r>
      <w:proofErr w:type="spell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или службы безопасности объекта портативной радиоаппаратуры для вызова резерва и правоохранительных органов;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четко определить функции администрации при сдаче помещений (территории) в арендам другим организациям на проверку состояния сдаваемых помещений и номенклатуры складируемых товаров по усмотрению администрации объектов;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организовать места парковки автомобилей не ближе 100 м от мест скопления людей;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освободить от лишних предметов служебные помещения, лестничные клетки, помещения, где расположены технические установки;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обеспечить регулярное удаление из здания отходов, освободить территорию от строительных лесов и металлического мусора;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контейнеры-мусоросборники по возможности установить за пределами зданий объекта;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Действия при обнаружения предмета, похожего на взрывное устройство (ВУ):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Признаки, которые могут указывать на наличие ВУ: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наличие на обнаруженном предмете проводов, веревок, изоленты;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подозрительные звуки, щелчки, тиканье часов, издаваемые предметом;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от предмета исходит характерный запах миндаля или другой необычный запах.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Причины, служащие поводом для опасения: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нахождение подозрительных лиц до обнаружения этого предмета;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угрозы лично, по телефону или в почтовых отправлениях.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Действия: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 близи данного предмета.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Немедленно сообщить об обнаружении подозрительного предмета в правоохранительные органы по указанным телефонам.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Зафиксировать время и место обнаружения.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4. Освободить от людей опасную зону в радиусе не менее 100м.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5. По возможности обеспечить охрану подозрительного предмета и опасной зоны.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8. Далее действовать по указанию представителей правоохранительных органов.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9. Не сообщать об угрозе взрыва никому, кроме тех, кому необходимо знать о случившемся, чтобы не создать панику.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11. Проинструктировать персонал объекта о том, что запрещается принимать на хранение от посторонних лиц какие-либо предметы и вещи.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12. Быть готовым описать внешний вид предмета, похожего на взрывное устройство.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Предмет может иметь любой вид: сумка, сверток, пакет и т.п., находящиеся бесхозно вместе возможного присутствия большого количества людей, вблизи </w:t>
      </w:r>
      <w:proofErr w:type="spell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взрыво</w:t>
      </w:r>
      <w:proofErr w:type="spell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изолента, скотч; возможно </w:t>
      </w:r>
      <w:proofErr w:type="spell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тикание</w:t>
      </w:r>
      <w:proofErr w:type="spell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часового механизма, механическое жужжание, другие звуки; иметь запах миндаля или другой незнакомый запах.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Б. При поступлении угрозы террористического акта по телефону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Предупредительные меры (меры профилактики):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инструктировать персонал о порядке приема телефонных сообщений с угрозами террористического акта.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своевременно оснащать телефоны организации устройствами АОН и звукозаписью телефонного сообщения.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Действия при получении телефонного сообщения: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реагировать на каждый поступивший телефонный звонок;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сообщить правоохранительные органы о поступившем телефонном звонке;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при необходимости эвакуировать людей согласно плана эвакуации;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обеспечить беспрепятственную работу оперативно–следственной группы, кинологов и т.д.;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Примерная форма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действий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при принятии сообщения об угрозе взрыва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 вешайте телефонную трубку по окончанию разговора!!!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Примерные вопросы: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Когда может быть проведен взрыв?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Где заложено взрывное устройство?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Что оно из себя представляет?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4. Как оно выглядит внешне?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5. Есть ли ещё где-нибудь взрывное устройство?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6. Для чего заложено взрывное устройство?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7. Каковы Ваши требования?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8. Вы один или с Вами есть ещё кто-либо?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В. При поступлении угрозы террористического акта в письменном виде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При этом необходимо четкое соблюдение персоналом организации правил обращения с анонимными материалами.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Предупредительные меры (меры профилактики):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особое внимание необходимо обращать на бандероли, посылки, крупные упаковки, футляры-упаковки и т.п., в том числе рекламные проспекты.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Цель проверки – не пропустить возможное сообщение об угрозе террористического акта.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Г. При захвате террористами заложников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Предупредительные меры (меры профилактики).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</w:t>
      </w:r>
      <w:proofErr w:type="gramEnd"/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Действия при захвате заложников: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 случившемся немедленно сообщить в нужную инстанцию и руководителю организации по указанным выше телефонам;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 своей инициативе в переговоры с террористами не вступать;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с прибытием бойцов спецподразделений ФСБ и МВД подробно ответить на вопросы их командиров и обеспечить их работу.</w:t>
      </w:r>
    </w:p>
    <w:p w:rsidR="009D4473" w:rsidRPr="009D4473" w:rsidRDefault="009D4473" w:rsidP="009D447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9D447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организации совместно с местными органами ФСБ и МВД разрабатываются Инструкция … и План действий… по обеспечению безопасности сотрудников объекта.</w:t>
      </w:r>
    </w:p>
    <w:p w:rsidR="009D4473" w:rsidRPr="009D4473" w:rsidRDefault="009D4473" w:rsidP="009D4473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9D4473" w:rsidRPr="009D4473" w:rsidRDefault="009D4473" w:rsidP="009D4473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5" w:tooltip="Памятка по действиям населения при угрозе террористического акта" w:history="1">
        <w:r w:rsidRPr="009D4473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Памятка по действиям населения при угрозе террористического акта</w:t>
        </w:r>
      </w:hyperlink>
    </w:p>
    <w:p w:rsidR="009D4473" w:rsidRPr="009D4473" w:rsidRDefault="009D4473" w:rsidP="009D4473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447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</w:t>
      </w:r>
    </w:p>
    <w:p w:rsidR="009D4473" w:rsidRPr="009D4473" w:rsidRDefault="009D4473" w:rsidP="009D4473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447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</w:t>
      </w:r>
    </w:p>
    <w:p w:rsidR="009D4473" w:rsidRPr="009D4473" w:rsidRDefault="009D4473" w:rsidP="009D4473">
      <w:pPr>
        <w:numPr>
          <w:ilvl w:val="0"/>
          <w:numId w:val="1"/>
        </w:numPr>
        <w:shd w:val="clear" w:color="auto" w:fill="FFFFFF"/>
        <w:spacing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4473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</w:t>
      </w:r>
    </w:p>
    <w:p w:rsidR="009D4473" w:rsidRPr="009D4473" w:rsidRDefault="009D4473" w:rsidP="009D4473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6" w:tooltip="01 или 101" w:history="1">
        <w:r w:rsidRPr="009D4473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01 или 101</w:t>
        </w:r>
      </w:hyperlink>
    </w:p>
    <w:p w:rsidR="009D4473" w:rsidRPr="009D4473" w:rsidRDefault="009D4473" w:rsidP="009D4473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9D4473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Единый телефон пожарных и спасателей</w:t>
      </w:r>
    </w:p>
    <w:p w:rsidR="009D4473" w:rsidRPr="009D4473" w:rsidRDefault="009D4473" w:rsidP="009D4473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7" w:tooltip="8 (473) 277-99-00" w:history="1">
        <w:r w:rsidRPr="009D4473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8 (473) 277-99-00</w:t>
        </w:r>
      </w:hyperlink>
    </w:p>
    <w:p w:rsidR="009D4473" w:rsidRPr="009D4473" w:rsidRDefault="009D4473" w:rsidP="009D4473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9D4473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Телефон доверия</w:t>
      </w:r>
    </w:p>
    <w:p w:rsidR="009D4473" w:rsidRPr="009D4473" w:rsidRDefault="009D4473" w:rsidP="009D4473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8" w:tooltip="mchs-vrn@36.mchs.gov.ru" w:history="1">
        <w:r w:rsidRPr="009D4473">
          <w:rPr>
            <w:rFonts w:ascii="inherit" w:eastAsia="Times New Roman" w:hAnsi="inherit" w:cs="Arial"/>
            <w:color w:val="2C2C2C"/>
            <w:sz w:val="27"/>
            <w:szCs w:val="27"/>
            <w:bdr w:val="none" w:sz="0" w:space="0" w:color="auto" w:frame="1"/>
            <w:lang w:eastAsia="ru-RU"/>
          </w:rPr>
          <w:t>mchs-vrn@36.mchs.gov.ru</w:t>
        </w:r>
      </w:hyperlink>
    </w:p>
    <w:p w:rsidR="009D4473" w:rsidRPr="009D4473" w:rsidRDefault="009D4473" w:rsidP="009D4473">
      <w:pPr>
        <w:spacing w:line="390" w:lineRule="atLeast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ru-RU"/>
        </w:rPr>
      </w:pPr>
      <w:r w:rsidRPr="009D4473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 xml:space="preserve">394006, </w:t>
      </w:r>
      <w:proofErr w:type="spellStart"/>
      <w:proofErr w:type="gramStart"/>
      <w:r w:rsidRPr="009D4473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г.Воронеж,ул.Куцыгина</w:t>
      </w:r>
      <w:proofErr w:type="spellEnd"/>
      <w:proofErr w:type="gramEnd"/>
      <w:r w:rsidRPr="009D4473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, д.28.</w:t>
      </w:r>
    </w:p>
    <w:p w:rsidR="006F2E0F" w:rsidRDefault="006F2E0F"/>
    <w:sectPr w:rsidR="006F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74A0"/>
    <w:multiLevelType w:val="multilevel"/>
    <w:tmpl w:val="E25C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3"/>
    <w:rsid w:val="006F2E0F"/>
    <w:rsid w:val="009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4F62-315F-4F62-829A-24EA208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5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62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94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79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07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6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s-vrn@36.mch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4732779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36.mchs.gov.ru/deyatelnost/bezopasnost-grazhdan/rekomendacii-naseleniyu/pravila-povedeniya-pri-ugroze-terroristicheskih-aktov/pamyatka-po-deystviyam-naseleniya-pri-ugroze-terroristicheskogo-ak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2024-05-20T12:56:00Z</dcterms:created>
  <dcterms:modified xsi:type="dcterms:W3CDTF">2024-05-20T12:57:00Z</dcterms:modified>
</cp:coreProperties>
</file>